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7145"/>
        <w:gridCol w:w="237"/>
        <w:gridCol w:w="3786"/>
      </w:tblGrid>
      <w:tr w:rsidR="0083137B" w:rsidTr="009A2532">
        <w:trPr>
          <w:gridAfter w:val="1"/>
          <w:wAfter w:w="1695" w:type="pct"/>
          <w:trHeight w:val="24"/>
        </w:trPr>
        <w:tc>
          <w:tcPr>
            <w:tcW w:w="3199" w:type="pct"/>
            <w:shd w:val="clear" w:color="auto" w:fill="297FD5" w:themeFill="accent2"/>
          </w:tcPr>
          <w:p w:rsidR="0083137B" w:rsidRDefault="0083137B">
            <w:pPr>
              <w:pStyle w:val="Sansinterligne"/>
            </w:pPr>
          </w:p>
        </w:tc>
        <w:tc>
          <w:tcPr>
            <w:tcW w:w="106" w:type="pct"/>
          </w:tcPr>
          <w:p w:rsidR="0083137B" w:rsidRDefault="0083137B">
            <w:pPr>
              <w:pStyle w:val="Sansinterligne"/>
            </w:pPr>
          </w:p>
        </w:tc>
      </w:tr>
      <w:tr w:rsidR="0083137B" w:rsidTr="009A2532">
        <w:trPr>
          <w:gridAfter w:val="2"/>
          <w:wAfter w:w="1801" w:type="pct"/>
          <w:trHeight w:val="297"/>
        </w:trPr>
        <w:tc>
          <w:tcPr>
            <w:tcW w:w="3199" w:type="pct"/>
            <w:vAlign w:val="bottom"/>
          </w:tcPr>
          <w:p w:rsidR="0083137B" w:rsidRDefault="0083137B"/>
        </w:tc>
      </w:tr>
      <w:tr w:rsidR="0083137B" w:rsidRPr="009A2532" w:rsidTr="009A2532">
        <w:trPr>
          <w:gridAfter w:val="1"/>
          <w:wAfter w:w="1695" w:type="pct"/>
          <w:trHeight w:val="1022"/>
        </w:trPr>
        <w:tc>
          <w:tcPr>
            <w:tcW w:w="3199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914EE9E0A7AB8D42909A02CD34065E8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83137B" w:rsidRDefault="002F14EE">
                <w:pPr>
                  <w:pStyle w:val="Titre"/>
                  <w:jc w:val="both"/>
                </w:pPr>
                <w:r>
                  <w:t>ND</w:t>
                </w:r>
              </w:p>
            </w:sdtContent>
          </w:sdt>
          <w:p w:rsidR="0083137B" w:rsidRDefault="001D26EE" w:rsidP="00B277FA">
            <w:pPr>
              <w:pStyle w:val="Sous-titre"/>
            </w:pPr>
            <w:sdt>
              <w:sdtPr>
                <w:alias w:val="Sous-titre"/>
                <w:tag w:val=""/>
                <w:id w:val="-1702467403"/>
                <w:placeholder>
                  <w:docPart w:val="EB57A938A07F424FB3145BE673DC10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2F14EE">
                  <w:t>Cours de neurodynamique</w:t>
                </w:r>
              </w:sdtContent>
            </w:sdt>
          </w:p>
        </w:tc>
        <w:tc>
          <w:tcPr>
            <w:tcW w:w="106" w:type="pct"/>
            <w:vAlign w:val="bottom"/>
          </w:tcPr>
          <w:p w:rsidR="0083137B" w:rsidRDefault="0083137B"/>
        </w:tc>
      </w:tr>
      <w:tr w:rsidR="00B277FA" w:rsidRPr="009A2532" w:rsidTr="009A2532">
        <w:trPr>
          <w:trHeight w:val="24"/>
        </w:trPr>
        <w:tc>
          <w:tcPr>
            <w:tcW w:w="3199" w:type="pct"/>
            <w:shd w:val="clear" w:color="auto" w:fill="297FD5" w:themeFill="accent2"/>
          </w:tcPr>
          <w:p w:rsidR="0098268E" w:rsidRPr="0083137B" w:rsidRDefault="0098268E">
            <w:pPr>
              <w:pStyle w:val="Sansinterligne"/>
            </w:pPr>
          </w:p>
        </w:tc>
        <w:tc>
          <w:tcPr>
            <w:tcW w:w="106" w:type="pct"/>
          </w:tcPr>
          <w:p w:rsidR="0098268E" w:rsidRPr="0083137B" w:rsidRDefault="0098268E">
            <w:pPr>
              <w:pStyle w:val="Sansinterligne"/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98268E" w:rsidRPr="0083137B" w:rsidRDefault="0098268E">
            <w:pPr>
              <w:pStyle w:val="Sansinterligne"/>
            </w:pPr>
          </w:p>
        </w:tc>
      </w:tr>
    </w:tbl>
    <w:p w:rsidR="0098268E" w:rsidRPr="0083137B" w:rsidRDefault="0098268E">
      <w:pPr>
        <w:pStyle w:val="Sansinterligne"/>
        <w:rPr>
          <w:sz w:val="16"/>
          <w:szCs w:val="16"/>
        </w:rPr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58"/>
        <w:gridCol w:w="223"/>
        <w:gridCol w:w="3765"/>
      </w:tblGrid>
      <w:tr w:rsidR="00B277FA" w:rsidRPr="00836274">
        <w:trPr>
          <w:trHeight w:val="2160"/>
        </w:trPr>
        <w:tc>
          <w:tcPr>
            <w:tcW w:w="3178" w:type="pct"/>
          </w:tcPr>
          <w:p w:rsidR="0098268E" w:rsidRPr="00836274" w:rsidRDefault="00B277FA">
            <w:pPr>
              <w:pStyle w:val="Titre1"/>
              <w:rPr>
                <w:sz w:val="16"/>
                <w:szCs w:val="16"/>
              </w:rPr>
            </w:pPr>
            <w:r w:rsidRPr="00836274">
              <w:rPr>
                <w:sz w:val="16"/>
                <w:szCs w:val="16"/>
                <w:lang w:val="fr-FR"/>
              </w:rPr>
              <w:t>Présentation</w:t>
            </w:r>
          </w:p>
          <w:p w:rsidR="0098268E" w:rsidRPr="00836274" w:rsidRDefault="00B277FA">
            <w:pPr>
              <w:rPr>
                <w:sz w:val="16"/>
                <w:szCs w:val="16"/>
              </w:rPr>
            </w:pP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Ce cours d’une durée de </w:t>
            </w:r>
            <w:r w:rsidR="002F14EE">
              <w:rPr>
                <w:rFonts w:eastAsiaTheme="minorHAnsi"/>
                <w:bCs/>
                <w:color w:val="auto"/>
                <w:sz w:val="16"/>
                <w:szCs w:val="16"/>
              </w:rPr>
              <w:t>2</w:t>
            </w: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jours se veut une introduction aux techniques d</w:t>
            </w:r>
            <w:r w:rsidR="002F14EE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’évaluation et de traitement </w:t>
            </w:r>
            <w:r w:rsidR="00836274"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utilisés </w:t>
            </w:r>
            <w:r w:rsidR="002F14EE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dans les atteintes </w:t>
            </w:r>
            <w:proofErr w:type="spellStart"/>
            <w:r w:rsidR="002F14EE">
              <w:rPr>
                <w:rFonts w:eastAsiaTheme="minorHAnsi"/>
                <w:bCs/>
                <w:color w:val="auto"/>
                <w:sz w:val="16"/>
                <w:szCs w:val="16"/>
              </w:rPr>
              <w:t>mécanosensibles</w:t>
            </w:r>
            <w:proofErr w:type="spellEnd"/>
            <w:r w:rsidR="002F14EE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du quadrant supérieur et inférieur. </w:t>
            </w: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 xml:space="preserve"> </w:t>
            </w:r>
          </w:p>
          <w:p w:rsidR="0098268E" w:rsidRPr="00836274" w:rsidRDefault="00B277FA">
            <w:pPr>
              <w:pStyle w:val="Titre1"/>
              <w:rPr>
                <w:sz w:val="16"/>
                <w:szCs w:val="16"/>
              </w:rPr>
            </w:pPr>
            <w:r w:rsidRPr="00836274">
              <w:rPr>
                <w:sz w:val="16"/>
                <w:szCs w:val="16"/>
                <w:lang w:val="fr-FR"/>
              </w:rPr>
              <w:t>Objectifs</w:t>
            </w:r>
          </w:p>
          <w:p w:rsidR="002F14EE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  <w:r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Comprendre la </w:t>
            </w:r>
            <w:r w:rsidR="002F14EE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mécanique et la continuité des couches de tissu conjonctifs qui recouvrent les SNC et SNP. </w:t>
            </w:r>
          </w:p>
          <w:p w:rsidR="002F14EE" w:rsidRDefault="002F14EE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</w:p>
          <w:p w:rsidR="00836274" w:rsidRDefault="002F14EE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Comprendre la </w:t>
            </w:r>
            <w:r w:rsidR="00B277FA"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terminologie </w:t>
            </w:r>
            <w:r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utilisée </w:t>
            </w:r>
          </w:p>
          <w:p w:rsidR="002F14EE" w:rsidRDefault="002F14EE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</w:p>
          <w:p w:rsidR="002F14EE" w:rsidRDefault="002F14EE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  <w:r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>Faire la distinction entre les différents types d’atteintes nerveuses</w:t>
            </w:r>
          </w:p>
          <w:p w:rsidR="002F14EE" w:rsidRPr="00836274" w:rsidRDefault="002F14EE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</w:p>
          <w:p w:rsidR="00B277FA" w:rsidRPr="00836274" w:rsidRDefault="00B277FA" w:rsidP="0083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  <w:r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Comprendre la présentation, l’implication clinique et la prise en charge des </w:t>
            </w:r>
            <w:r w:rsidR="002F14EE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>troubles de la neurodynamique</w:t>
            </w:r>
            <w:r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 d</w:t>
            </w:r>
            <w:r w:rsidR="002F14EE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>ans le</w:t>
            </w:r>
            <w:r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 Quadrant supérieur </w:t>
            </w:r>
            <w:r w:rsidR="002F14EE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>et inférieur</w:t>
            </w:r>
          </w:p>
          <w:p w:rsidR="00836274" w:rsidRPr="00836274" w:rsidRDefault="00836274" w:rsidP="002F14EE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</w:p>
          <w:p w:rsidR="00B277FA" w:rsidRPr="00836274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  <w:r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Intégrer le raisonnement clinique </w:t>
            </w:r>
          </w:p>
          <w:p w:rsidR="00836274" w:rsidRPr="00836274" w:rsidRDefault="00836274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</w:p>
          <w:p w:rsidR="0098268E" w:rsidRPr="00836274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</w:pPr>
            <w:r w:rsidRPr="00836274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 xml:space="preserve">Intégrer au raisonnement clinique les principes théoriques et l’application pratique de l’évaluation et du traitement des </w:t>
            </w:r>
            <w:r w:rsidR="00D2504C">
              <w:rPr>
                <w:rFonts w:ascii="Cambria" w:hAnsi="Cambria" w:cs="Arial"/>
                <w:color w:val="auto"/>
                <w:sz w:val="16"/>
                <w:szCs w:val="16"/>
                <w:lang w:val="fr-FR"/>
              </w:rPr>
              <w:t>troubles de la neurodynamique</w:t>
            </w:r>
          </w:p>
          <w:p w:rsidR="0098268E" w:rsidRPr="00836274" w:rsidRDefault="00B277FA">
            <w:pPr>
              <w:pStyle w:val="Titre1"/>
              <w:rPr>
                <w:sz w:val="16"/>
                <w:szCs w:val="16"/>
              </w:rPr>
            </w:pPr>
            <w:r w:rsidRPr="00836274">
              <w:rPr>
                <w:sz w:val="16"/>
                <w:szCs w:val="16"/>
                <w:lang w:val="fr-FR"/>
              </w:rPr>
              <w:t>Techniques enseignées</w:t>
            </w:r>
          </w:p>
          <w:p w:rsidR="00836274" w:rsidRDefault="00D2504C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Évaluation du système nerveux périphérique</w:t>
            </w:r>
          </w:p>
          <w:p w:rsidR="00D2504C" w:rsidRPr="00836274" w:rsidRDefault="00D2504C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Évaluation des conditions neurodynamique</w:t>
            </w:r>
          </w:p>
          <w:p w:rsidR="00B277FA" w:rsidRPr="00836274" w:rsidRDefault="00D2504C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Traitements des interfaces</w:t>
            </w:r>
          </w:p>
          <w:p w:rsidR="00B277FA" w:rsidRPr="00836274" w:rsidRDefault="00D2504C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eastAsiaTheme="minorHAnsi"/>
                <w:bCs/>
                <w:color w:val="auto"/>
                <w:sz w:val="16"/>
                <w:szCs w:val="16"/>
              </w:rPr>
              <w:t>Techniques de traitement neurodynamique en « flossing » et « tensionner »</w:t>
            </w:r>
          </w:p>
          <w:p w:rsidR="0098268E" w:rsidRPr="00836274" w:rsidRDefault="00B277FA">
            <w:pPr>
              <w:pStyle w:val="Titre1"/>
              <w:rPr>
                <w:rFonts w:eastAsiaTheme="minorHAnsi"/>
                <w:bCs w:val="0"/>
                <w:color w:val="auto"/>
                <w:sz w:val="16"/>
                <w:szCs w:val="16"/>
              </w:rPr>
            </w:pPr>
            <w:r w:rsidRPr="00836274">
              <w:rPr>
                <w:sz w:val="16"/>
                <w:szCs w:val="16"/>
                <w:lang w:val="fr-FR"/>
              </w:rPr>
              <w:t>Méthodes pédagogiques utilisées</w:t>
            </w:r>
          </w:p>
          <w:p w:rsidR="0098268E" w:rsidRPr="00836274" w:rsidRDefault="00B277FA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>Présentations magistrales</w:t>
            </w:r>
          </w:p>
          <w:p w:rsidR="00B277FA" w:rsidRPr="00836274" w:rsidRDefault="00B277FA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>Démonstrations techniques</w:t>
            </w:r>
          </w:p>
          <w:p w:rsidR="00B277FA" w:rsidRPr="00836274" w:rsidRDefault="00B277FA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>Pratique de techniques</w:t>
            </w:r>
          </w:p>
          <w:p w:rsidR="00B277FA" w:rsidRPr="00836274" w:rsidRDefault="00B277FA" w:rsidP="00B277FA">
            <w:pPr>
              <w:rPr>
                <w:rFonts w:eastAsiaTheme="minorHAnsi"/>
                <w:bCs/>
                <w:color w:val="auto"/>
                <w:sz w:val="16"/>
                <w:szCs w:val="16"/>
              </w:rPr>
            </w:pP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>Mise en situations</w:t>
            </w:r>
            <w:r w:rsidR="00D2504C">
              <w:rPr>
                <w:rFonts w:eastAsiaTheme="minorHAnsi"/>
                <w:bCs/>
                <w:color w:val="auto"/>
                <w:sz w:val="16"/>
                <w:szCs w:val="16"/>
              </w:rPr>
              <w:t>/vignettes cliniques</w:t>
            </w:r>
            <w:bookmarkStart w:id="0" w:name="_GoBack"/>
            <w:bookmarkEnd w:id="0"/>
          </w:p>
          <w:p w:rsidR="00B277FA" w:rsidRPr="00836274" w:rsidRDefault="00B277FA" w:rsidP="00B277FA">
            <w:pPr>
              <w:rPr>
                <w:bCs/>
                <w:color w:val="auto"/>
                <w:sz w:val="16"/>
                <w:szCs w:val="16"/>
              </w:rPr>
            </w:pPr>
            <w:r w:rsidRPr="00836274">
              <w:rPr>
                <w:rFonts w:eastAsiaTheme="minorHAnsi"/>
                <w:bCs/>
                <w:color w:val="auto"/>
                <w:sz w:val="16"/>
                <w:szCs w:val="16"/>
              </w:rPr>
              <w:t>Histoires de cas</w:t>
            </w:r>
          </w:p>
        </w:tc>
        <w:tc>
          <w:tcPr>
            <w:tcW w:w="102" w:type="pct"/>
          </w:tcPr>
          <w:p w:rsidR="0098268E" w:rsidRPr="00836274" w:rsidRDefault="0098268E">
            <w:pPr>
              <w:rPr>
                <w:sz w:val="16"/>
                <w:szCs w:val="16"/>
              </w:rPr>
            </w:pPr>
          </w:p>
        </w:tc>
        <w:tc>
          <w:tcPr>
            <w:tcW w:w="1720" w:type="pct"/>
          </w:tcPr>
          <w:p w:rsidR="0098268E" w:rsidRPr="00836274" w:rsidRDefault="00B277FA">
            <w:pPr>
              <w:pStyle w:val="Titre2"/>
              <w:rPr>
                <w:sz w:val="16"/>
                <w:szCs w:val="16"/>
              </w:rPr>
            </w:pPr>
            <w:r w:rsidRPr="00836274">
              <w:rPr>
                <w:sz w:val="16"/>
                <w:szCs w:val="16"/>
                <w:lang w:val="fr-FR"/>
              </w:rPr>
              <w:t>Matériel</w:t>
            </w:r>
          </w:p>
          <w:p w:rsidR="0098268E" w:rsidRPr="00836274" w:rsidRDefault="00B277FA" w:rsidP="0083137B">
            <w:pPr>
              <w:pStyle w:val="Normalcentr"/>
              <w:rPr>
                <w:sz w:val="16"/>
                <w:szCs w:val="16"/>
              </w:rPr>
            </w:pPr>
            <w:r w:rsidRPr="00836274">
              <w:rPr>
                <w:sz w:val="16"/>
                <w:szCs w:val="16"/>
              </w:rPr>
              <w:t xml:space="preserve">Les notes de cours seront </w:t>
            </w:r>
            <w:r w:rsidR="0083137B">
              <w:rPr>
                <w:sz w:val="16"/>
                <w:szCs w:val="16"/>
              </w:rPr>
              <w:t>disponibles sur Moodle avant le début du cours</w:t>
            </w:r>
          </w:p>
          <w:p w:rsidR="0098268E" w:rsidRPr="00836274" w:rsidRDefault="0098268E">
            <w:pPr>
              <w:pStyle w:val="Date"/>
              <w:rPr>
                <w:sz w:val="16"/>
                <w:szCs w:val="16"/>
              </w:rPr>
            </w:pPr>
          </w:p>
          <w:p w:rsidR="0098268E" w:rsidRPr="00836274" w:rsidRDefault="0098268E">
            <w:pPr>
              <w:pStyle w:val="Normalcentr"/>
              <w:rPr>
                <w:sz w:val="16"/>
                <w:szCs w:val="16"/>
              </w:rPr>
            </w:pPr>
          </w:p>
          <w:p w:rsidR="0098268E" w:rsidRPr="00836274" w:rsidRDefault="0098268E" w:rsidP="00836274">
            <w:pPr>
              <w:pStyle w:val="Normalcentr"/>
              <w:rPr>
                <w:sz w:val="18"/>
                <w:szCs w:val="18"/>
              </w:rPr>
            </w:pPr>
          </w:p>
        </w:tc>
      </w:tr>
    </w:tbl>
    <w:p w:rsidR="00115400" w:rsidRDefault="00115400"/>
    <w:p w:rsidR="00115400" w:rsidRPr="00115400" w:rsidRDefault="00115400">
      <w:pPr>
        <w:rPr>
          <w:sz w:val="18"/>
          <w:szCs w:val="18"/>
        </w:rPr>
      </w:pPr>
      <w:r w:rsidRPr="00115400">
        <w:rPr>
          <w:sz w:val="18"/>
          <w:szCs w:val="18"/>
        </w:rPr>
        <w:t>LES OBJECTIFS DE COURS PLUS DÉTAILLÉS SERONT FOURNIS SUR DEMANDE</w:t>
      </w:r>
    </w:p>
    <w:sectPr w:rsidR="00115400" w:rsidRPr="00115400" w:rsidSect="00C62245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EE" w:rsidRDefault="001D26EE">
      <w:pPr>
        <w:spacing w:after="0" w:line="240" w:lineRule="auto"/>
      </w:pPr>
      <w:r>
        <w:separator/>
      </w:r>
    </w:p>
  </w:endnote>
  <w:endnote w:type="continuationSeparator" w:id="0">
    <w:p w:rsidR="001D26EE" w:rsidRDefault="001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B277FA">
      <w:tc>
        <w:tcPr>
          <w:tcW w:w="3200" w:type="pct"/>
          <w:shd w:val="clear" w:color="auto" w:fill="297FD5" w:themeFill="accent2"/>
        </w:tcPr>
        <w:p w:rsidR="00B277FA" w:rsidRDefault="00B277FA" w:rsidP="00B277FA">
          <w:pPr>
            <w:pStyle w:val="Sansinterligne"/>
          </w:pPr>
        </w:p>
      </w:tc>
      <w:tc>
        <w:tcPr>
          <w:tcW w:w="104" w:type="pct"/>
        </w:tcPr>
        <w:p w:rsidR="00B277FA" w:rsidRDefault="00B277FA" w:rsidP="00B277FA">
          <w:pPr>
            <w:pStyle w:val="Sansinterligne"/>
          </w:pPr>
        </w:p>
      </w:tc>
      <w:tc>
        <w:tcPr>
          <w:tcW w:w="1700" w:type="pct"/>
          <w:shd w:val="clear" w:color="auto" w:fill="7F7F7F" w:themeFill="text1" w:themeFillTint="80"/>
        </w:tcPr>
        <w:p w:rsidR="00B277FA" w:rsidRDefault="00B277FA" w:rsidP="00B277FA">
          <w:pPr>
            <w:pStyle w:val="Sansinterligne"/>
          </w:pPr>
        </w:p>
      </w:tc>
    </w:tr>
    <w:tr w:rsidR="00B277FA">
      <w:tc>
        <w:tcPr>
          <w:tcW w:w="3200" w:type="pct"/>
          <w:vAlign w:val="bottom"/>
        </w:tcPr>
        <w:sdt>
          <w:sdtPr>
            <w:alias w:val="Sous-titre"/>
            <w:tag w:val=""/>
            <w:id w:val="-6520578"/>
            <w:placeholder>
              <w:docPart w:val="FF9C589FE366954F885C8F4836ED3CC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B277FA" w:rsidRPr="0055491E" w:rsidRDefault="002F14EE" w:rsidP="00B277FA">
              <w:pPr>
                <w:pStyle w:val="Pieddepage"/>
                <w:rPr>
                  <w:color w:val="404040" w:themeColor="text1" w:themeTint="BF"/>
                </w:rPr>
              </w:pPr>
              <w:r>
                <w:t>Cours de neurodynamique</w:t>
              </w:r>
            </w:p>
          </w:sdtContent>
        </w:sdt>
      </w:tc>
      <w:tc>
        <w:tcPr>
          <w:tcW w:w="104" w:type="pct"/>
          <w:vAlign w:val="bottom"/>
        </w:tcPr>
        <w:p w:rsidR="00B277FA" w:rsidRDefault="00B277FA" w:rsidP="00B277FA">
          <w:pPr>
            <w:pStyle w:val="Pieddepage"/>
          </w:pPr>
        </w:p>
      </w:tc>
      <w:tc>
        <w:tcPr>
          <w:tcW w:w="1700" w:type="pct"/>
          <w:vAlign w:val="bottom"/>
        </w:tcPr>
        <w:p w:rsidR="00B277FA" w:rsidRDefault="00C62245" w:rsidP="00B277FA">
          <w:pPr>
            <w:pStyle w:val="FooterRight"/>
          </w:pPr>
          <w:r>
            <w:fldChar w:fldCharType="begin"/>
          </w:r>
          <w:r w:rsidR="00B277FA">
            <w:instrText>Page</w:instrText>
          </w:r>
          <w:r>
            <w:fldChar w:fldCharType="separate"/>
          </w:r>
          <w:r w:rsidR="00AA5E24">
            <w:rPr>
              <w:noProof/>
            </w:rPr>
            <w:t>1</w:t>
          </w:r>
          <w:r>
            <w:fldChar w:fldCharType="end"/>
          </w:r>
        </w:p>
      </w:tc>
    </w:tr>
  </w:tbl>
  <w:p w:rsidR="00B277FA" w:rsidRDefault="00B277FA" w:rsidP="00B277FA">
    <w:pPr>
      <w:pStyle w:val="Sansinterlig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EE" w:rsidRDefault="001D26EE">
      <w:pPr>
        <w:spacing w:after="0" w:line="240" w:lineRule="auto"/>
      </w:pPr>
      <w:r>
        <w:separator/>
      </w:r>
    </w:p>
  </w:footnote>
  <w:footnote w:type="continuationSeparator" w:id="0">
    <w:p w:rsidR="001D26EE" w:rsidRDefault="001D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97FD5" w:themeColor="accent2"/>
      </w:rPr>
    </w:lvl>
  </w:abstractNum>
  <w:abstractNum w:abstractNumId="3" w15:restartNumberingAfterBreak="0">
    <w:nsid w:val="099B3EDF"/>
    <w:multiLevelType w:val="hybridMultilevel"/>
    <w:tmpl w:val="AD7CD8DA"/>
    <w:lvl w:ilvl="0" w:tplc="CE309DC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A"/>
    <w:rsid w:val="00115400"/>
    <w:rsid w:val="00177AAC"/>
    <w:rsid w:val="001D26EE"/>
    <w:rsid w:val="001E6FCA"/>
    <w:rsid w:val="002400B7"/>
    <w:rsid w:val="002649C8"/>
    <w:rsid w:val="002D1DDF"/>
    <w:rsid w:val="002F14EE"/>
    <w:rsid w:val="004A23A6"/>
    <w:rsid w:val="00570387"/>
    <w:rsid w:val="005F4481"/>
    <w:rsid w:val="0083137B"/>
    <w:rsid w:val="00836274"/>
    <w:rsid w:val="009304FD"/>
    <w:rsid w:val="0098268E"/>
    <w:rsid w:val="009A2532"/>
    <w:rsid w:val="00A331E8"/>
    <w:rsid w:val="00A96309"/>
    <w:rsid w:val="00AA5E24"/>
    <w:rsid w:val="00B277FA"/>
    <w:rsid w:val="00C62245"/>
    <w:rsid w:val="00CF55D9"/>
    <w:rsid w:val="00D2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5FAA"/>
  <w15:docId w15:val="{B4C4F7BC-EB4F-484E-A266-02D3BBF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45"/>
    <w:rPr>
      <w:color w:val="404040" w:themeColor="text1" w:themeTint="BF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C6224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97FD5" w:themeColor="accen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C62245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C62245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97FD5" w:themeColor="accent2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C62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29DD1" w:themeColor="accent1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C62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C62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C62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97FD5" w:themeColor="accent2"/>
      <w:szCs w:val="20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C62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62245"/>
    <w:rPr>
      <w:rFonts w:asciiTheme="majorHAnsi" w:eastAsiaTheme="majorEastAsia" w:hAnsiTheme="majorHAnsi" w:cstheme="majorBidi"/>
      <w:bCs/>
      <w:color w:val="297FD5" w:themeColor="accen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C62245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C62245"/>
    <w:rPr>
      <w:rFonts w:asciiTheme="majorHAnsi" w:eastAsiaTheme="majorEastAsia" w:hAnsiTheme="majorHAnsi" w:cstheme="majorBidi"/>
      <w:bCs/>
      <w:color w:val="297FD5" w:themeColor="accent2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sid w:val="00C62245"/>
    <w:rPr>
      <w:rFonts w:asciiTheme="majorHAnsi" w:eastAsiaTheme="majorEastAsia" w:hAnsiTheme="majorHAnsi" w:cstheme="majorBidi"/>
      <w:bCs/>
      <w:iCs/>
      <w:color w:val="629DD1" w:themeColor="accent1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1"/>
    <w:semiHidden/>
    <w:rsid w:val="00C62245"/>
    <w:rPr>
      <w:rFonts w:asciiTheme="majorHAnsi" w:eastAsiaTheme="majorEastAsia" w:hAnsiTheme="majorHAnsi" w:cstheme="majorBidi"/>
      <w:i/>
      <w:iCs/>
      <w:color w:val="224E76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uiPriority w:val="1"/>
    <w:semiHidden/>
    <w:rsid w:val="00C62245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1"/>
    <w:semiHidden/>
    <w:rsid w:val="00C62245"/>
    <w:rPr>
      <w:rFonts w:asciiTheme="majorHAnsi" w:eastAsiaTheme="majorEastAsia" w:hAnsiTheme="majorHAnsi" w:cstheme="majorBidi"/>
      <w:color w:val="297FD5" w:themeColor="accent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semiHidden/>
    <w:rsid w:val="00C62245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45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Normalcentr">
    <w:name w:val="Block Text"/>
    <w:basedOn w:val="Normal"/>
    <w:uiPriority w:val="1"/>
    <w:unhideWhenUsed/>
    <w:qFormat/>
    <w:rsid w:val="00C62245"/>
    <w:pPr>
      <w:spacing w:after="0"/>
      <w:ind w:right="360"/>
    </w:pPr>
    <w:rPr>
      <w:iCs/>
      <w:color w:val="7F7F7F" w:themeColor="text1" w:themeTint="80"/>
    </w:rPr>
  </w:style>
  <w:style w:type="paragraph" w:styleId="Lgende">
    <w:name w:val="caption"/>
    <w:basedOn w:val="Normal"/>
    <w:next w:val="Normal"/>
    <w:uiPriority w:val="1"/>
    <w:rsid w:val="00C62245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C62245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ar"/>
    <w:uiPriority w:val="1"/>
    <w:qFormat/>
    <w:rsid w:val="00C62245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ar">
    <w:name w:val="Date Car"/>
    <w:basedOn w:val="Policepardfaut"/>
    <w:link w:val="Date"/>
    <w:uiPriority w:val="1"/>
    <w:rsid w:val="00C62245"/>
    <w:rPr>
      <w:b/>
      <w:color w:val="7F7F7F" w:themeColor="text1" w:themeTint="80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62245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sid w:val="00C62245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depage"/>
    <w:uiPriority w:val="99"/>
    <w:rsid w:val="00C62245"/>
    <w:pPr>
      <w:jc w:val="right"/>
    </w:pPr>
  </w:style>
  <w:style w:type="paragraph" w:styleId="En-tte">
    <w:name w:val="header"/>
    <w:basedOn w:val="Normal"/>
    <w:link w:val="En-tteCar"/>
    <w:uiPriority w:val="99"/>
    <w:rsid w:val="00C62245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sid w:val="00C62245"/>
    <w:rPr>
      <w:color w:val="595959" w:themeColor="text1" w:themeTint="A6"/>
      <w:sz w:val="20"/>
      <w:szCs w:val="24"/>
    </w:rPr>
  </w:style>
  <w:style w:type="paragraph" w:styleId="Listepuces">
    <w:name w:val="List Bullet"/>
    <w:basedOn w:val="Normal"/>
    <w:uiPriority w:val="1"/>
    <w:qFormat/>
    <w:rsid w:val="00C62245"/>
    <w:pPr>
      <w:tabs>
        <w:tab w:val="num" w:pos="360"/>
      </w:tabs>
      <w:ind w:left="360" w:hanging="360"/>
    </w:pPr>
  </w:style>
  <w:style w:type="paragraph" w:styleId="Listenumros">
    <w:name w:val="List Number"/>
    <w:basedOn w:val="Normal"/>
    <w:uiPriority w:val="1"/>
    <w:qFormat/>
    <w:rsid w:val="00C62245"/>
    <w:pPr>
      <w:tabs>
        <w:tab w:val="num" w:pos="360"/>
      </w:tabs>
      <w:ind w:left="360" w:hanging="360"/>
    </w:pPr>
  </w:style>
  <w:style w:type="paragraph" w:styleId="Sansinterligne">
    <w:name w:val="No Spacing"/>
    <w:uiPriority w:val="1"/>
    <w:rsid w:val="00C62245"/>
    <w:pPr>
      <w:spacing w:after="0" w:line="240" w:lineRule="auto"/>
    </w:pPr>
    <w:rPr>
      <w:sz w:val="5"/>
      <w:szCs w:val="24"/>
    </w:rPr>
  </w:style>
  <w:style w:type="character" w:styleId="Textedelespacerserv">
    <w:name w:val="Placeholder Text"/>
    <w:basedOn w:val="Policepardfaut"/>
    <w:uiPriority w:val="99"/>
    <w:semiHidden/>
    <w:rsid w:val="00C62245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C62245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97FD5" w:themeColor="accent2"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C62245"/>
    <w:rPr>
      <w:rFonts w:asciiTheme="majorHAnsi" w:eastAsiaTheme="majorEastAsia" w:hAnsiTheme="majorHAnsi" w:cstheme="majorBidi"/>
      <w:iCs/>
      <w:color w:val="297FD5" w:themeColor="accent2"/>
      <w:sz w:val="44"/>
      <w:szCs w:val="24"/>
    </w:rPr>
  </w:style>
  <w:style w:type="table" w:styleId="Grilledutableau">
    <w:name w:val="Table Grid"/>
    <w:basedOn w:val="TableauNormal"/>
    <w:uiPriority w:val="59"/>
    <w:rsid w:val="00C622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C62245"/>
    <w:pPr>
      <w:spacing w:before="40" w:after="40" w:line="240" w:lineRule="auto"/>
    </w:pPr>
    <w:rPr>
      <w:rFonts w:asciiTheme="majorHAnsi" w:eastAsiaTheme="majorEastAsia" w:hAnsiTheme="majorHAnsi" w:cstheme="majorBidi"/>
      <w:color w:val="297FD5" w:themeColor="accent2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"/>
    <w:rsid w:val="00C62245"/>
    <w:rPr>
      <w:rFonts w:asciiTheme="majorHAnsi" w:eastAsiaTheme="majorEastAsia" w:hAnsiTheme="majorHAnsi" w:cstheme="majorBidi"/>
      <w:color w:val="297FD5" w:themeColor="accent2"/>
      <w:kern w:val="28"/>
      <w:sz w:val="96"/>
      <w:szCs w:val="52"/>
    </w:rPr>
  </w:style>
  <w:style w:type="paragraph" w:styleId="Listepuces2">
    <w:name w:val="List Bullet 2"/>
    <w:basedOn w:val="Normalcentr"/>
    <w:uiPriority w:val="1"/>
    <w:unhideWhenUsed/>
    <w:qFormat/>
    <w:rsid w:val="00C62245"/>
    <w:pPr>
      <w:numPr>
        <w:numId w:val="7"/>
      </w:numPr>
      <w:spacing w:after="40"/>
    </w:pPr>
  </w:style>
  <w:style w:type="paragraph" w:styleId="Paragraphedeliste">
    <w:name w:val="List Paragraph"/>
    <w:basedOn w:val="Normal"/>
    <w:uiPriority w:val="34"/>
    <w:unhideWhenUsed/>
    <w:qFormat/>
    <w:rsid w:val="00B2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C589FE366954F885C8F4836ED3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173EB-7AA4-1244-8886-A30522E13E73}"/>
      </w:docPartPr>
      <w:docPartBody>
        <w:p w:rsidR="007D2F14" w:rsidRDefault="007D2F14">
          <w:pPr>
            <w:pStyle w:val="FF9C589FE366954F885C8F4836ED3CCE"/>
          </w:pPr>
          <w:r>
            <w:rPr>
              <w:lang w:val="fr-FR"/>
            </w:rPr>
            <w:t>Course Name</w:t>
          </w:r>
        </w:p>
      </w:docPartBody>
    </w:docPart>
    <w:docPart>
      <w:docPartPr>
        <w:name w:val="914EE9E0A7AB8D42909A02CD34065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943B6-718A-8046-B9D5-D286DAE75153}"/>
      </w:docPartPr>
      <w:docPartBody>
        <w:p w:rsidR="00BE3EC7" w:rsidRDefault="00AC61E8" w:rsidP="00AC61E8">
          <w:pPr>
            <w:pStyle w:val="914EE9E0A7AB8D42909A02CD34065E8E"/>
          </w:pPr>
          <w:r>
            <w:rPr>
              <w:lang w:val="fr-FR"/>
            </w:rPr>
            <w:t>CS200</w:t>
          </w:r>
        </w:p>
      </w:docPartBody>
    </w:docPart>
    <w:docPart>
      <w:docPartPr>
        <w:name w:val="EB57A938A07F424FB3145BE673DC1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00502-CC6F-C647-9EEA-0F128AB07AC4}"/>
      </w:docPartPr>
      <w:docPartBody>
        <w:p w:rsidR="00BE3EC7" w:rsidRDefault="00AC61E8" w:rsidP="00AC61E8">
          <w:pPr>
            <w:pStyle w:val="EB57A938A07F424FB3145BE673DC1032"/>
          </w:pPr>
          <w:r>
            <w:rPr>
              <w:lang w:val="fr-FR"/>
            </w:rPr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F14"/>
    <w:rsid w:val="000A1DC2"/>
    <w:rsid w:val="00242A67"/>
    <w:rsid w:val="007808B0"/>
    <w:rsid w:val="007D2F14"/>
    <w:rsid w:val="00AC61E8"/>
    <w:rsid w:val="00B01C5A"/>
    <w:rsid w:val="00B60D2C"/>
    <w:rsid w:val="00BE3EC7"/>
    <w:rsid w:val="00C2199E"/>
    <w:rsid w:val="00EB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DC4D20106A4E4586E07A8D6AB6D906">
    <w:name w:val="F2DC4D20106A4E4586E07A8D6AB6D906"/>
    <w:rsid w:val="007808B0"/>
  </w:style>
  <w:style w:type="paragraph" w:customStyle="1" w:styleId="A995DACA2B770841AF89138879186145">
    <w:name w:val="A995DACA2B770841AF89138879186145"/>
    <w:rsid w:val="007808B0"/>
  </w:style>
  <w:style w:type="paragraph" w:customStyle="1" w:styleId="7547E183933C5041915EB50EB8AD2FA1">
    <w:name w:val="7547E183933C5041915EB50EB8AD2FA1"/>
    <w:rsid w:val="007808B0"/>
  </w:style>
  <w:style w:type="paragraph" w:styleId="Listepuces">
    <w:name w:val="List Bullet"/>
    <w:basedOn w:val="Normal"/>
    <w:uiPriority w:val="1"/>
    <w:qFormat/>
    <w:rsid w:val="007808B0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7CF46D33FB08F44EB2F95F20B7C3340E">
    <w:name w:val="7CF46D33FB08F44EB2F95F20B7C3340E"/>
    <w:rsid w:val="007808B0"/>
  </w:style>
  <w:style w:type="paragraph" w:styleId="Listenumros">
    <w:name w:val="List Number"/>
    <w:basedOn w:val="Normal"/>
    <w:uiPriority w:val="1"/>
    <w:qFormat/>
    <w:rsid w:val="007808B0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24E6FFA17CF93448898A832EDAABE41F">
    <w:name w:val="24E6FFA17CF93448898A832EDAABE41F"/>
    <w:rsid w:val="007808B0"/>
  </w:style>
  <w:style w:type="paragraph" w:customStyle="1" w:styleId="C6E5EDD7B5ABD941A4AAC27DAA6ACEEB">
    <w:name w:val="C6E5EDD7B5ABD941A4AAC27DAA6ACEEB"/>
    <w:rsid w:val="007808B0"/>
  </w:style>
  <w:style w:type="paragraph" w:styleId="Normalcentr">
    <w:name w:val="Block Text"/>
    <w:basedOn w:val="Normal"/>
    <w:uiPriority w:val="1"/>
    <w:unhideWhenUsed/>
    <w:qFormat/>
    <w:rsid w:val="007808B0"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Listepuces2">
    <w:name w:val="List Bullet 2"/>
    <w:basedOn w:val="Normalcentr"/>
    <w:uiPriority w:val="1"/>
    <w:unhideWhenUsed/>
    <w:qFormat/>
    <w:rsid w:val="007808B0"/>
    <w:pPr>
      <w:numPr>
        <w:numId w:val="3"/>
      </w:numPr>
      <w:spacing w:after="40"/>
    </w:pPr>
  </w:style>
  <w:style w:type="paragraph" w:customStyle="1" w:styleId="D8EBCCBF8BD7F143914C3F9265517F84">
    <w:name w:val="D8EBCCBF8BD7F143914C3F9265517F84"/>
    <w:rsid w:val="007808B0"/>
  </w:style>
  <w:style w:type="paragraph" w:customStyle="1" w:styleId="4075A96056078641A6341CB5EEB0ED5C">
    <w:name w:val="4075A96056078641A6341CB5EEB0ED5C"/>
    <w:rsid w:val="007808B0"/>
  </w:style>
  <w:style w:type="paragraph" w:customStyle="1" w:styleId="53402B84057EF942BF9D5022C9571A4D">
    <w:name w:val="53402B84057EF942BF9D5022C9571A4D"/>
    <w:rsid w:val="007808B0"/>
  </w:style>
  <w:style w:type="paragraph" w:customStyle="1" w:styleId="C4756AFBA26AA04089F3A58369245555">
    <w:name w:val="C4756AFBA26AA04089F3A58369245555"/>
    <w:rsid w:val="007808B0"/>
  </w:style>
  <w:style w:type="paragraph" w:customStyle="1" w:styleId="FF9C589FE366954F885C8F4836ED3CCE">
    <w:name w:val="FF9C589FE366954F885C8F4836ED3CCE"/>
    <w:rsid w:val="007808B0"/>
  </w:style>
  <w:style w:type="paragraph" w:customStyle="1" w:styleId="914EE9E0A7AB8D42909A02CD34065E8E">
    <w:name w:val="914EE9E0A7AB8D42909A02CD34065E8E"/>
    <w:rsid w:val="00AC61E8"/>
    <w:rPr>
      <w:lang w:eastAsia="fr-FR"/>
    </w:rPr>
  </w:style>
  <w:style w:type="paragraph" w:customStyle="1" w:styleId="EB57A938A07F424FB3145BE673DC1032">
    <w:name w:val="EB57A938A07F424FB3145BE673DC1032"/>
    <w:rsid w:val="00AC61E8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ème1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</vt:lpstr>
      <vt:lpstr/>
    </vt:vector>
  </TitlesOfParts>
  <Manager/>
  <Company/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</dc:title>
  <dc:subject>Cours de neurodynamique</dc:subject>
  <dc:creator>MELANIE ROCH</dc:creator>
  <cp:keywords/>
  <dc:description/>
  <cp:lastModifiedBy>THE ROCK Roch</cp:lastModifiedBy>
  <cp:revision>2</cp:revision>
  <dcterms:created xsi:type="dcterms:W3CDTF">2020-06-17T14:06:00Z</dcterms:created>
  <dcterms:modified xsi:type="dcterms:W3CDTF">2020-06-17T14:06:00Z</dcterms:modified>
  <cp:category/>
</cp:coreProperties>
</file>